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2024 37 vom 1. April 2025</w:t>
      </w:r>
    </w:p>
    <w:p>
      <w:r>
        <w:t>SZ Gerichte, 2025-04-01, DE</w:t>
      </w:r>
    </w:p>
    <w:p>
      <w:r>
        <w:rPr>
          <w:b/>
        </w:rPr>
        <w:t xml:space="preserve">Quelle: </w:t>
      </w:r>
      <w:r>
        <w:t>https://mcp.opencaselaw.ch/entscheid/sz_gerichte_STK 2024 37</w:t>
      </w:r>
    </w:p>
    <w:p>
      <w:r>
        <w:t>FR: SZ_GERICHTE STK 2024 37 du 1 avril 2025</w:t>
      </w:r>
    </w:p>
    <w:p>
      <w:r>
        <w:t>IT: SZ_GERICHTE STK 2024 37 del 1 aprile 2025</w:t>
      </w:r>
    </w:p>
    <w:p>
      <w:pPr>
        <w:pStyle w:val="Heading2"/>
      </w:pPr>
      <w:r>
        <w:t>Regeste</w:t>
      </w:r>
    </w:p>
    <w:p>
      <w:r>
        <w:t>einfache Körperverletzung, evtl. mehrfache Tätlichkeiten, Beschimpfung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, 2. Abteilung, Postfach 1201, Schmiedgasse 21, 6431 Schwyz, Anklagebehörde und Berufungsgegnerin, vertreten durch Staatsanwalt C.________,</w:t>
      </w:r>
    </w:p>
    <w:p>
      <w:r>
        <w:rPr>
          <w:b/>
        </w:rPr>
        <w:t>E. 2</w:t>
      </w:r>
    </w:p>
    <w:p>
      <w:r>
        <w:t>D.________, Privatklägerin und Berufungsgegnerin, vertreten durch Rechtsanwältin E.________,</w:t>
      </w:r>
    </w:p>
    <w:p>
      <w:r>
        <w:rPr>
          <w:b/>
        </w:rPr>
        <w:t>E. 3</w:t>
      </w:r>
    </w:p>
    <w:p>
      <w:r>
        <w:t>F.________, Privatkläger und Berufungsgegner, \n vertreten durch D.________, \n \n \n \n \n \n \n \n betreffend \n Tätlichkeit und Beschimpfung \n \n \n \n (Berufung gegen das Urteil des Bezirksgerichts Küssnacht vom 17. Juni 2024, SGO 2024 1);- \n \n hat die Strafkammer, \n nachdem sich ergeben: \n A. Am 4. März 2024 erhob die Staatsanwaltschaft Anklage gegen den Beschuldigten wegen mehrfacher einfacher Körperverletzung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